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82" w:rsidRPr="00E926F8" w:rsidRDefault="00710882" w:rsidP="00BD34BF">
      <w:pPr>
        <w:shd w:val="clear" w:color="auto" w:fill="FFFFFF"/>
        <w:spacing w:after="0" w:line="240" w:lineRule="auto"/>
        <w:rPr>
          <w:rFonts w:eastAsia="Times New Roman" w:cstheme="minorHAnsi"/>
          <w:color w:val="2A2A2A"/>
          <w:sz w:val="24"/>
          <w:szCs w:val="24"/>
          <w:lang w:eastAsia="pt-BR"/>
        </w:rPr>
      </w:pPr>
    </w:p>
    <w:p w:rsidR="001B5153" w:rsidRDefault="00935461" w:rsidP="00E926F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A2A2A"/>
          <w:sz w:val="28"/>
          <w:szCs w:val="28"/>
          <w:lang w:eastAsia="pt-BR"/>
        </w:rPr>
      </w:pPr>
      <w:r>
        <w:rPr>
          <w:rFonts w:eastAsia="Times New Roman" w:cstheme="minorHAnsi"/>
          <w:b/>
          <w:color w:val="2A2A2A"/>
          <w:sz w:val="28"/>
          <w:szCs w:val="28"/>
          <w:lang w:eastAsia="pt-BR"/>
        </w:rPr>
        <w:t>Acidentes, F</w:t>
      </w:r>
      <w:r w:rsidR="00E926F8">
        <w:rPr>
          <w:rFonts w:eastAsia="Times New Roman" w:cstheme="minorHAnsi"/>
          <w:b/>
          <w:color w:val="2A2A2A"/>
          <w:sz w:val="28"/>
          <w:szCs w:val="28"/>
          <w:lang w:eastAsia="pt-BR"/>
        </w:rPr>
        <w:t xml:space="preserve">lagelos e </w:t>
      </w:r>
      <w:r>
        <w:rPr>
          <w:rFonts w:eastAsia="Times New Roman" w:cstheme="minorHAnsi"/>
          <w:b/>
          <w:color w:val="2A2A2A"/>
          <w:sz w:val="28"/>
          <w:szCs w:val="28"/>
          <w:lang w:eastAsia="pt-BR"/>
        </w:rPr>
        <w:t>D</w:t>
      </w:r>
      <w:r w:rsidR="00E926F8">
        <w:rPr>
          <w:rFonts w:eastAsia="Times New Roman" w:cstheme="minorHAnsi"/>
          <w:b/>
          <w:color w:val="2A2A2A"/>
          <w:sz w:val="28"/>
          <w:szCs w:val="28"/>
          <w:lang w:eastAsia="pt-BR"/>
        </w:rPr>
        <w:t xml:space="preserve">escaso em Osasco e </w:t>
      </w:r>
      <w:proofErr w:type="gramStart"/>
      <w:r>
        <w:rPr>
          <w:rFonts w:eastAsia="Times New Roman" w:cstheme="minorHAnsi"/>
          <w:b/>
          <w:color w:val="2A2A2A"/>
          <w:sz w:val="28"/>
          <w:szCs w:val="28"/>
          <w:lang w:eastAsia="pt-BR"/>
        </w:rPr>
        <w:t>R</w:t>
      </w:r>
      <w:r w:rsidR="00E926F8">
        <w:rPr>
          <w:rFonts w:eastAsia="Times New Roman" w:cstheme="minorHAnsi"/>
          <w:b/>
          <w:color w:val="2A2A2A"/>
          <w:sz w:val="28"/>
          <w:szCs w:val="28"/>
          <w:lang w:eastAsia="pt-BR"/>
        </w:rPr>
        <w:t>egião</w:t>
      </w:r>
      <w:proofErr w:type="gramEnd"/>
    </w:p>
    <w:p w:rsidR="00E926F8" w:rsidRPr="00E926F8" w:rsidRDefault="00E926F8" w:rsidP="00BD34BF">
      <w:pPr>
        <w:shd w:val="clear" w:color="auto" w:fill="FFFFFF"/>
        <w:spacing w:after="0" w:line="240" w:lineRule="auto"/>
        <w:rPr>
          <w:rFonts w:eastAsia="Times New Roman" w:cstheme="minorHAnsi"/>
          <w:b/>
          <w:color w:val="2A2A2A"/>
          <w:sz w:val="28"/>
          <w:szCs w:val="28"/>
          <w:lang w:eastAsia="pt-BR"/>
        </w:rPr>
      </w:pPr>
    </w:p>
    <w:p w:rsidR="004B1D39" w:rsidRPr="004B1D39" w:rsidRDefault="004B1D39" w:rsidP="004B1D39">
      <w:pPr>
        <w:autoSpaceDE w:val="0"/>
        <w:autoSpaceDN w:val="0"/>
        <w:adjustRightInd w:val="0"/>
        <w:ind w:right="-1"/>
        <w:jc w:val="both"/>
        <w:rPr>
          <w:rFonts w:cstheme="minorHAnsi"/>
          <w:sz w:val="24"/>
          <w:szCs w:val="24"/>
        </w:rPr>
      </w:pPr>
      <w:r w:rsidRPr="004B1D39">
        <w:rPr>
          <w:rFonts w:cstheme="minorHAnsi"/>
          <w:sz w:val="24"/>
          <w:szCs w:val="24"/>
        </w:rPr>
        <w:t>A data em memória às vitimas de acidentes de trabalho, 28 de abril, surgiu no Canadá por iniciativa do movimento sindical, espalhando-se por diversos países, por meio de sindicatos, federações, confederações locais e internacionais.</w:t>
      </w:r>
    </w:p>
    <w:p w:rsidR="004B1D39" w:rsidRPr="004B1D39" w:rsidRDefault="004B1D39" w:rsidP="004B1D39">
      <w:pPr>
        <w:autoSpaceDE w:val="0"/>
        <w:autoSpaceDN w:val="0"/>
        <w:adjustRightInd w:val="0"/>
        <w:ind w:right="-1"/>
        <w:jc w:val="both"/>
        <w:rPr>
          <w:rFonts w:cstheme="minorHAnsi"/>
          <w:sz w:val="24"/>
          <w:szCs w:val="24"/>
        </w:rPr>
      </w:pPr>
      <w:r w:rsidRPr="004B1D39">
        <w:rPr>
          <w:rFonts w:cstheme="minorHAnsi"/>
          <w:sz w:val="24"/>
          <w:szCs w:val="24"/>
        </w:rPr>
        <w:t xml:space="preserve">O dia foi escolhido em razão de um acidente que matou 78 trabalhadores em uma mina no Estado da Virgínia, nos Estados Unidos, no ano de 1969. A Organização Internacional do Trabalho (OIT), desde 2003, consagra este dia à reflexão sobre </w:t>
      </w:r>
      <w:proofErr w:type="gramStart"/>
      <w:r w:rsidRPr="004B1D39">
        <w:rPr>
          <w:rFonts w:cstheme="minorHAnsi"/>
          <w:sz w:val="24"/>
          <w:szCs w:val="24"/>
        </w:rPr>
        <w:t>a</w:t>
      </w:r>
      <w:proofErr w:type="gramEnd"/>
      <w:r w:rsidRPr="004B1D39">
        <w:rPr>
          <w:rFonts w:cstheme="minorHAnsi"/>
          <w:sz w:val="24"/>
          <w:szCs w:val="24"/>
        </w:rPr>
        <w:t xml:space="preserve"> </w:t>
      </w:r>
      <w:proofErr w:type="gramStart"/>
      <w:r w:rsidRPr="004B1D39">
        <w:rPr>
          <w:rFonts w:cstheme="minorHAnsi"/>
          <w:sz w:val="24"/>
          <w:szCs w:val="24"/>
        </w:rPr>
        <w:t>segurança</w:t>
      </w:r>
      <w:proofErr w:type="gramEnd"/>
      <w:r w:rsidRPr="004B1D39">
        <w:rPr>
          <w:rFonts w:cstheme="minorHAnsi"/>
          <w:sz w:val="24"/>
          <w:szCs w:val="24"/>
        </w:rPr>
        <w:t xml:space="preserve"> e saúde no trabalho.</w:t>
      </w:r>
    </w:p>
    <w:p w:rsidR="004B1D39" w:rsidRPr="004B1D39" w:rsidRDefault="004B1D39" w:rsidP="004B1D39">
      <w:pPr>
        <w:autoSpaceDE w:val="0"/>
        <w:autoSpaceDN w:val="0"/>
        <w:adjustRightInd w:val="0"/>
        <w:ind w:right="-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4B1D39">
        <w:rPr>
          <w:rFonts w:cstheme="minorHAnsi"/>
          <w:sz w:val="24"/>
          <w:szCs w:val="24"/>
        </w:rPr>
        <w:t xml:space="preserve"> data foi instituída </w:t>
      </w:r>
      <w:r>
        <w:rPr>
          <w:rFonts w:cstheme="minorHAnsi"/>
          <w:sz w:val="24"/>
          <w:szCs w:val="24"/>
        </w:rPr>
        <w:t xml:space="preserve">no Brasil </w:t>
      </w:r>
      <w:r w:rsidRPr="004B1D39">
        <w:rPr>
          <w:rFonts w:cstheme="minorHAnsi"/>
          <w:sz w:val="24"/>
          <w:szCs w:val="24"/>
        </w:rPr>
        <w:t>como o Dia Nacional em Memória das Vítimas de Acidentes e Doenças do Trabalho em maio de 2005, pela Lei nº 11.121.</w:t>
      </w:r>
    </w:p>
    <w:p w:rsidR="00BD34BF" w:rsidRPr="00A41B77" w:rsidRDefault="00BD34BF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r w:rsidRPr="00A41B77">
        <w:rPr>
          <w:rFonts w:asciiTheme="minorHAnsi" w:hAnsiTheme="minorHAnsi" w:cstheme="minorHAnsi"/>
          <w:color w:val="2A2A2A"/>
        </w:rPr>
        <w:t>No mundo, segundo estimativas da OIT, cerca de 270 milhões de acidentes de trabalho e 160 milhões de casos de doenças ocupacionais ocorrem anualmente, comprometendo cerca de 4% do PIB mundial.</w:t>
      </w:r>
    </w:p>
    <w:p w:rsidR="00BD34BF" w:rsidRPr="00A41B77" w:rsidRDefault="00BD34BF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r w:rsidRPr="00A41B77">
        <w:rPr>
          <w:rFonts w:asciiTheme="minorHAnsi" w:hAnsiTheme="minorHAnsi" w:cstheme="minorHAnsi"/>
          <w:color w:val="2A2A2A"/>
        </w:rPr>
        <w:t xml:space="preserve">No Brasil, todos os anos morrem cerca de </w:t>
      </w:r>
      <w:r w:rsidR="007B1941" w:rsidRPr="00A41B77">
        <w:rPr>
          <w:rFonts w:asciiTheme="minorHAnsi" w:hAnsiTheme="minorHAnsi" w:cstheme="minorHAnsi"/>
          <w:color w:val="2A2A2A"/>
        </w:rPr>
        <w:t>3.000</w:t>
      </w:r>
      <w:r w:rsidRPr="00A41B77">
        <w:rPr>
          <w:rFonts w:asciiTheme="minorHAnsi" w:hAnsiTheme="minorHAnsi" w:cstheme="minorHAnsi"/>
          <w:color w:val="2A2A2A"/>
        </w:rPr>
        <w:t xml:space="preserve"> trabalhadores, uma morte a cada duas horas de trabalho. </w:t>
      </w:r>
    </w:p>
    <w:p w:rsidR="004B3634" w:rsidRPr="00A41B77" w:rsidRDefault="004B3634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r w:rsidRPr="00A41B77">
        <w:rPr>
          <w:rFonts w:asciiTheme="minorHAnsi" w:hAnsiTheme="minorHAnsi" w:cstheme="minorHAnsi"/>
          <w:color w:val="2A2A2A"/>
        </w:rPr>
        <w:t>Dos 704.136 acidentes de trabalho divulgados pela Previdência Social em 2014, nada menos que 145.075, ou seja, 20,6% não tiveram registros através de CAT (Comunicação de Acidente de Trabalho).</w:t>
      </w:r>
    </w:p>
    <w:p w:rsidR="004B3634" w:rsidRPr="00A41B77" w:rsidRDefault="004B3634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r w:rsidRPr="00A41B77">
        <w:rPr>
          <w:rFonts w:asciiTheme="minorHAnsi" w:hAnsiTheme="minorHAnsi" w:cstheme="minorHAnsi"/>
          <w:color w:val="2A2A2A"/>
        </w:rPr>
        <w:t>A gravidade dos acidentes levou a 2.783 mortes e 13.833 incapacidades permanentes provocadas pelo trabalho.</w:t>
      </w:r>
    </w:p>
    <w:p w:rsidR="004B3634" w:rsidRPr="00A41B77" w:rsidRDefault="004B3634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r w:rsidRPr="00A41B77">
        <w:rPr>
          <w:rFonts w:asciiTheme="minorHAnsi" w:hAnsiTheme="minorHAnsi" w:cstheme="minorHAnsi"/>
          <w:color w:val="2A2A2A"/>
        </w:rPr>
        <w:t>Nada menos que 35,7% dos acidentados (251.594) tiveram afastamento de 15 dias ou mais, em decorrência das más condições de trabalho.</w:t>
      </w:r>
    </w:p>
    <w:p w:rsidR="004B3634" w:rsidRPr="00A41B77" w:rsidRDefault="004B3634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r w:rsidRPr="00A41B77">
        <w:rPr>
          <w:rFonts w:asciiTheme="minorHAnsi" w:hAnsiTheme="minorHAnsi" w:cstheme="minorHAnsi"/>
          <w:color w:val="2A2A2A"/>
        </w:rPr>
        <w:t>As doenças de trabalho continuam subnotificadas, atingindo 15.571 registros.</w:t>
      </w:r>
    </w:p>
    <w:p w:rsidR="004B3634" w:rsidRPr="00A41B77" w:rsidRDefault="004B3634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r w:rsidRPr="00A41B77">
        <w:rPr>
          <w:rFonts w:asciiTheme="minorHAnsi" w:hAnsiTheme="minorHAnsi" w:cstheme="minorHAnsi"/>
          <w:color w:val="2A2A2A"/>
        </w:rPr>
        <w:t xml:space="preserve">Em Osasco e região, o INSS registrou nos últimos </w:t>
      </w:r>
      <w:proofErr w:type="gramStart"/>
      <w:r w:rsidRPr="00A41B77">
        <w:rPr>
          <w:rFonts w:asciiTheme="minorHAnsi" w:hAnsiTheme="minorHAnsi" w:cstheme="minorHAnsi"/>
          <w:color w:val="2A2A2A"/>
        </w:rPr>
        <w:t>5</w:t>
      </w:r>
      <w:proofErr w:type="gramEnd"/>
      <w:r w:rsidRPr="00A41B77">
        <w:rPr>
          <w:rFonts w:asciiTheme="minorHAnsi" w:hAnsiTheme="minorHAnsi" w:cstheme="minorHAnsi"/>
          <w:color w:val="2A2A2A"/>
        </w:rPr>
        <w:t xml:space="preserve"> anos (2009 a 2013) cerca de 54.318 acidentes de trabalho, que geraram 192 mortes e 1.406 doenças do trabalho.</w:t>
      </w:r>
    </w:p>
    <w:p w:rsidR="004B3634" w:rsidRPr="00A41B77" w:rsidRDefault="004B3634" w:rsidP="004B363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A2A2A"/>
        </w:rPr>
      </w:pPr>
      <w:proofErr w:type="gramStart"/>
      <w:r w:rsidRPr="00A41B77">
        <w:rPr>
          <w:rFonts w:asciiTheme="minorHAnsi" w:hAnsiTheme="minorHAnsi" w:cstheme="minorHAnsi"/>
          <w:color w:val="2A2A2A"/>
        </w:rPr>
        <w:t>Cerca de 20,4</w:t>
      </w:r>
      <w:proofErr w:type="gramEnd"/>
      <w:r w:rsidRPr="00A41B77">
        <w:rPr>
          <w:rFonts w:asciiTheme="minorHAnsi" w:hAnsiTheme="minorHAnsi" w:cstheme="minorHAnsi"/>
          <w:color w:val="2A2A2A"/>
        </w:rPr>
        <w:t xml:space="preserve">% dos acidentes no período </w:t>
      </w:r>
      <w:r w:rsidR="007B1941" w:rsidRPr="00A41B77">
        <w:rPr>
          <w:rFonts w:asciiTheme="minorHAnsi" w:hAnsiTheme="minorHAnsi" w:cstheme="minorHAnsi"/>
          <w:color w:val="2A2A2A"/>
        </w:rPr>
        <w:t xml:space="preserve">não </w:t>
      </w:r>
      <w:r w:rsidRPr="00A41B77">
        <w:rPr>
          <w:rFonts w:asciiTheme="minorHAnsi" w:hAnsiTheme="minorHAnsi" w:cstheme="minorHAnsi"/>
          <w:color w:val="2A2A2A"/>
        </w:rPr>
        <w:t>tiveram emissão de CAT.</w:t>
      </w:r>
    </w:p>
    <w:p w:rsidR="00835F46" w:rsidRPr="00A41B77" w:rsidRDefault="003C3AE4" w:rsidP="003C3AE4">
      <w:pPr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t xml:space="preserve">Neste ano, no Brasil, o </w:t>
      </w:r>
      <w:r w:rsidR="00D50E06" w:rsidRPr="00A41B77">
        <w:rPr>
          <w:rFonts w:cstheme="minorHAnsi"/>
          <w:sz w:val="24"/>
          <w:szCs w:val="24"/>
        </w:rPr>
        <w:t xml:space="preserve">dia 28 de abril reunirá o movimento sindical em ato na cidade de Mariana-MG, que foi vítima </w:t>
      </w:r>
      <w:r w:rsidR="00023023">
        <w:rPr>
          <w:rFonts w:cstheme="minorHAnsi"/>
          <w:sz w:val="24"/>
          <w:szCs w:val="24"/>
        </w:rPr>
        <w:t xml:space="preserve">inicial </w:t>
      </w:r>
      <w:r w:rsidR="00D50E06" w:rsidRPr="00A41B77">
        <w:rPr>
          <w:rFonts w:cstheme="minorHAnsi"/>
          <w:sz w:val="24"/>
          <w:szCs w:val="24"/>
        </w:rPr>
        <w:t>do rompimento da barragem que destruiu vidas, empregos e o meio ambiente pelo caminho do lamaçal da irresponsabilidade.</w:t>
      </w:r>
    </w:p>
    <w:p w:rsidR="00D50E06" w:rsidRPr="00A41B77" w:rsidRDefault="00D50E06" w:rsidP="003C3AE4">
      <w:pPr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lastRenderedPageBreak/>
        <w:t xml:space="preserve">Em Osasco e região, a falta de políticas públicas para combater os acidentes de trabalho, principalmente aqueles que matam, </w:t>
      </w:r>
      <w:proofErr w:type="gramStart"/>
      <w:r w:rsidRPr="00A41B77">
        <w:rPr>
          <w:rFonts w:cstheme="minorHAnsi"/>
          <w:sz w:val="24"/>
          <w:szCs w:val="24"/>
        </w:rPr>
        <w:t>mutilam e adoecem</w:t>
      </w:r>
      <w:proofErr w:type="gramEnd"/>
      <w:r w:rsidRPr="00A41B77">
        <w:rPr>
          <w:rFonts w:cstheme="minorHAnsi"/>
          <w:sz w:val="24"/>
          <w:szCs w:val="24"/>
        </w:rPr>
        <w:t xml:space="preserve"> irreversivelmente trabalhadores, está unindo o movimento sindical e as associações para exigir um </w:t>
      </w:r>
      <w:r w:rsidR="001514C6" w:rsidRPr="00A41B77">
        <w:rPr>
          <w:rFonts w:cstheme="minorHAnsi"/>
          <w:sz w:val="24"/>
          <w:szCs w:val="24"/>
        </w:rPr>
        <w:t>“</w:t>
      </w:r>
      <w:r w:rsidRPr="00A41B77">
        <w:rPr>
          <w:rFonts w:cstheme="minorHAnsi"/>
          <w:sz w:val="24"/>
          <w:szCs w:val="24"/>
        </w:rPr>
        <w:t>basta</w:t>
      </w:r>
      <w:r w:rsidR="001514C6" w:rsidRPr="00A41B77">
        <w:rPr>
          <w:rFonts w:cstheme="minorHAnsi"/>
          <w:sz w:val="24"/>
          <w:szCs w:val="24"/>
        </w:rPr>
        <w:t>!”</w:t>
      </w:r>
      <w:r w:rsidRPr="00A41B77">
        <w:rPr>
          <w:rFonts w:cstheme="minorHAnsi"/>
          <w:sz w:val="24"/>
          <w:szCs w:val="24"/>
        </w:rPr>
        <w:t xml:space="preserve"> a esta situação.</w:t>
      </w:r>
    </w:p>
    <w:p w:rsidR="00D50E06" w:rsidRPr="00A41B77" w:rsidRDefault="00D50E06" w:rsidP="003C3AE4">
      <w:pPr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t>Reunidos sob a coordenação do CISSOR – Conselho Intersindical de Saúde e Seguridade Social de Osasco e Região, os participantes alertam que a fiscalização do trabalho está sucateada</w:t>
      </w:r>
      <w:r w:rsidR="00023023">
        <w:rPr>
          <w:rFonts w:cstheme="minorHAnsi"/>
          <w:sz w:val="24"/>
          <w:szCs w:val="24"/>
        </w:rPr>
        <w:t xml:space="preserve"> e</w:t>
      </w:r>
      <w:r w:rsidRPr="00A41B77">
        <w:rPr>
          <w:rFonts w:cstheme="minorHAnsi"/>
          <w:sz w:val="24"/>
          <w:szCs w:val="24"/>
        </w:rPr>
        <w:t xml:space="preserve"> com a qualidade comprometida.</w:t>
      </w:r>
    </w:p>
    <w:p w:rsidR="00D50E06" w:rsidRPr="00A41B77" w:rsidRDefault="00D50E06" w:rsidP="003C3AE4">
      <w:pPr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t xml:space="preserve">A situação está tão grave que os Auditores Fiscais do Trabalho não comparecem às empresas nas quais ocorrem acidentes de trabalho graves e fatais, no momento em que é acionada. Geralmente, chegam </w:t>
      </w:r>
      <w:r w:rsidR="0044216A">
        <w:rPr>
          <w:rFonts w:cstheme="minorHAnsi"/>
          <w:sz w:val="24"/>
          <w:szCs w:val="24"/>
        </w:rPr>
        <w:t>a</w:t>
      </w:r>
      <w:r w:rsidRPr="00A41B77">
        <w:rPr>
          <w:rFonts w:cstheme="minorHAnsi"/>
          <w:sz w:val="24"/>
          <w:szCs w:val="24"/>
        </w:rPr>
        <w:t xml:space="preserve">os locais dos fatos semanas ou meses depois, quando chegam, para “fiscalizar” o </w:t>
      </w:r>
      <w:r w:rsidR="001514C6" w:rsidRPr="00A41B77">
        <w:rPr>
          <w:rFonts w:cstheme="minorHAnsi"/>
          <w:sz w:val="24"/>
          <w:szCs w:val="24"/>
        </w:rPr>
        <w:t>cenário já preparado, analisando situações e “provas” deixadas pelas empresas, descaracterizando totalmente as reais causas dos acidentes.</w:t>
      </w:r>
    </w:p>
    <w:p w:rsidR="001514C6" w:rsidRPr="00A41B77" w:rsidRDefault="001514C6" w:rsidP="003C3AE4">
      <w:pPr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t>Esta ausência do Estado na fiscalização não só está colocando em risco a vida dos trabalhadores, como também daqueles que os substituem após a ocorrência de acidentes, permitindo a destruição de provas que garantiriam indenização aos vitimados e suas famílias, bem como o ressarcimento de gastos à Previdência Social através das Ações Regressivas Acidentárias.</w:t>
      </w:r>
    </w:p>
    <w:p w:rsidR="00181F12" w:rsidRPr="00A41B77" w:rsidRDefault="00F601C9" w:rsidP="003C3AE4">
      <w:pPr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t>Evidências do descaso:</w:t>
      </w:r>
    </w:p>
    <w:p w:rsidR="00F601C9" w:rsidRPr="00A41B77" w:rsidRDefault="00F601C9" w:rsidP="00F601C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t xml:space="preserve">Fiscalização </w:t>
      </w:r>
      <w:r w:rsidR="00FE1999">
        <w:rPr>
          <w:rFonts w:cstheme="minorHAnsi"/>
          <w:sz w:val="24"/>
          <w:szCs w:val="24"/>
        </w:rPr>
        <w:t>escassa e tardia</w:t>
      </w:r>
      <w:r w:rsidRPr="00A41B77">
        <w:rPr>
          <w:rFonts w:cstheme="minorHAnsi"/>
          <w:sz w:val="24"/>
          <w:szCs w:val="24"/>
        </w:rPr>
        <w:t xml:space="preserve"> e suas repercussões</w:t>
      </w:r>
    </w:p>
    <w:p w:rsidR="007A1304" w:rsidRDefault="007A1304" w:rsidP="00F601C9">
      <w:pPr>
        <w:pStyle w:val="PargrafodaLista"/>
        <w:jc w:val="both"/>
        <w:rPr>
          <w:rFonts w:cstheme="minorHAnsi"/>
          <w:sz w:val="24"/>
          <w:szCs w:val="24"/>
        </w:rPr>
      </w:pPr>
    </w:p>
    <w:p w:rsidR="00F601C9" w:rsidRDefault="00F601C9" w:rsidP="00F601C9">
      <w:pPr>
        <w:pStyle w:val="PargrafodaLista"/>
        <w:jc w:val="both"/>
        <w:rPr>
          <w:rFonts w:cstheme="minorHAnsi"/>
          <w:sz w:val="24"/>
          <w:szCs w:val="24"/>
        </w:rPr>
      </w:pPr>
      <w:r w:rsidRPr="00A41B77">
        <w:rPr>
          <w:rFonts w:cstheme="minorHAnsi"/>
          <w:sz w:val="24"/>
          <w:szCs w:val="24"/>
        </w:rPr>
        <w:t>Hoje, a Gerência Regional do Trabalho de Osasco –</w:t>
      </w:r>
      <w:r w:rsidR="001B54F5">
        <w:rPr>
          <w:rFonts w:cstheme="minorHAnsi"/>
          <w:sz w:val="24"/>
          <w:szCs w:val="24"/>
        </w:rPr>
        <w:t xml:space="preserve"> GRTE Osasco</w:t>
      </w:r>
      <w:r w:rsidRPr="00A41B77">
        <w:rPr>
          <w:rFonts w:cstheme="minorHAnsi"/>
          <w:sz w:val="24"/>
          <w:szCs w:val="24"/>
        </w:rPr>
        <w:t xml:space="preserve"> possui </w:t>
      </w:r>
      <w:r w:rsidR="00023023">
        <w:rPr>
          <w:rFonts w:cstheme="minorHAnsi"/>
          <w:sz w:val="24"/>
          <w:szCs w:val="24"/>
        </w:rPr>
        <w:t xml:space="preserve">apenas </w:t>
      </w:r>
      <w:proofErr w:type="gramStart"/>
      <w:r w:rsidR="00023023">
        <w:rPr>
          <w:rFonts w:cstheme="minorHAnsi"/>
          <w:sz w:val="24"/>
          <w:szCs w:val="24"/>
        </w:rPr>
        <w:t>6</w:t>
      </w:r>
      <w:proofErr w:type="gramEnd"/>
      <w:r w:rsidR="00023023">
        <w:rPr>
          <w:rFonts w:cstheme="minorHAnsi"/>
          <w:sz w:val="24"/>
          <w:szCs w:val="24"/>
        </w:rPr>
        <w:t xml:space="preserve"> </w:t>
      </w:r>
      <w:r w:rsidRPr="00A41B77">
        <w:rPr>
          <w:rFonts w:cstheme="minorHAnsi"/>
          <w:sz w:val="24"/>
          <w:szCs w:val="24"/>
        </w:rPr>
        <w:t xml:space="preserve">Auditores Fiscais do Trabalho </w:t>
      </w:r>
      <w:r w:rsidR="00023023">
        <w:rPr>
          <w:rFonts w:cstheme="minorHAnsi"/>
          <w:sz w:val="24"/>
          <w:szCs w:val="24"/>
        </w:rPr>
        <w:t xml:space="preserve">ligados ao programa de segurança, </w:t>
      </w:r>
      <w:r w:rsidRPr="00A41B77">
        <w:rPr>
          <w:rFonts w:cstheme="minorHAnsi"/>
          <w:sz w:val="24"/>
          <w:szCs w:val="24"/>
        </w:rPr>
        <w:t>para fiscalizar o cumprimento da lei nos 15 municípios de sua abrangência, os quais seguem abaixo, que possuem pelo menos 86.840 empresas, 1,2 milhões de pessoas ocupadas e 850 mil trabalhadores formais, com carteira registrada.</w:t>
      </w:r>
    </w:p>
    <w:p w:rsidR="00E926F8" w:rsidRPr="00A41B77" w:rsidRDefault="00E926F8" w:rsidP="00F601C9">
      <w:pPr>
        <w:pStyle w:val="PargrafodaLista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793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3"/>
        <w:gridCol w:w="2977"/>
      </w:tblGrid>
      <w:tr w:rsidR="00F601C9" w:rsidRPr="00A41B77" w:rsidTr="00A41B77">
        <w:tc>
          <w:tcPr>
            <w:tcW w:w="2268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Barueri</w:t>
            </w:r>
          </w:p>
        </w:tc>
        <w:tc>
          <w:tcPr>
            <w:tcW w:w="2693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76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Itapecerica da Serra</w:t>
            </w:r>
          </w:p>
        </w:tc>
        <w:tc>
          <w:tcPr>
            <w:tcW w:w="2977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5" w:hanging="141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Pirapora do Bom Jesus</w:t>
            </w:r>
          </w:p>
        </w:tc>
      </w:tr>
      <w:tr w:rsidR="00F601C9" w:rsidRPr="00A41B77" w:rsidTr="00A41B77">
        <w:tc>
          <w:tcPr>
            <w:tcW w:w="2268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Carapicuíba</w:t>
            </w:r>
          </w:p>
        </w:tc>
        <w:tc>
          <w:tcPr>
            <w:tcW w:w="2693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76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Itapevi</w:t>
            </w:r>
          </w:p>
        </w:tc>
        <w:tc>
          <w:tcPr>
            <w:tcW w:w="2977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5" w:hanging="141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Santana de Parnaíba</w:t>
            </w:r>
          </w:p>
        </w:tc>
      </w:tr>
      <w:tr w:rsidR="00F601C9" w:rsidRPr="00A41B77" w:rsidTr="00A41B77">
        <w:tc>
          <w:tcPr>
            <w:tcW w:w="2268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Cotia</w:t>
            </w:r>
          </w:p>
        </w:tc>
        <w:tc>
          <w:tcPr>
            <w:tcW w:w="2693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76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Jandira</w:t>
            </w:r>
          </w:p>
        </w:tc>
        <w:tc>
          <w:tcPr>
            <w:tcW w:w="2977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5" w:hanging="141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São Lourenço da Serra</w:t>
            </w:r>
          </w:p>
        </w:tc>
      </w:tr>
      <w:tr w:rsidR="00F601C9" w:rsidRPr="00A41B77" w:rsidTr="00A41B77">
        <w:tc>
          <w:tcPr>
            <w:tcW w:w="2268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Embu das Artes</w:t>
            </w:r>
          </w:p>
        </w:tc>
        <w:tc>
          <w:tcPr>
            <w:tcW w:w="2693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76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Juquitiba</w:t>
            </w:r>
          </w:p>
        </w:tc>
        <w:tc>
          <w:tcPr>
            <w:tcW w:w="2977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5" w:hanging="141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Taboão da Serra</w:t>
            </w:r>
          </w:p>
        </w:tc>
      </w:tr>
      <w:tr w:rsidR="00F601C9" w:rsidRPr="00A41B77" w:rsidTr="00A41B77">
        <w:tc>
          <w:tcPr>
            <w:tcW w:w="2268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Embu-Guaçu</w:t>
            </w:r>
          </w:p>
        </w:tc>
        <w:tc>
          <w:tcPr>
            <w:tcW w:w="2693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6" w:hanging="176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Osasco</w:t>
            </w:r>
          </w:p>
        </w:tc>
        <w:tc>
          <w:tcPr>
            <w:tcW w:w="2977" w:type="dxa"/>
          </w:tcPr>
          <w:p w:rsidR="00F601C9" w:rsidRPr="00A41B77" w:rsidRDefault="00F601C9" w:rsidP="00F601C9">
            <w:pPr>
              <w:pStyle w:val="PargrafodaLista"/>
              <w:numPr>
                <w:ilvl w:val="0"/>
                <w:numId w:val="2"/>
              </w:numPr>
              <w:ind w:left="175" w:hanging="141"/>
              <w:jc w:val="both"/>
              <w:rPr>
                <w:rFonts w:cstheme="minorHAnsi"/>
                <w:sz w:val="24"/>
                <w:szCs w:val="24"/>
              </w:rPr>
            </w:pPr>
            <w:r w:rsidRPr="00A41B77">
              <w:rPr>
                <w:rFonts w:cstheme="minorHAnsi"/>
                <w:sz w:val="24"/>
                <w:szCs w:val="24"/>
              </w:rPr>
              <w:t>Vargem Grande Paulista</w:t>
            </w:r>
          </w:p>
        </w:tc>
      </w:tr>
    </w:tbl>
    <w:p w:rsidR="00F601C9" w:rsidRPr="00A41B77" w:rsidRDefault="00F601C9" w:rsidP="00A41B77">
      <w:pPr>
        <w:pStyle w:val="PargrafodaLista"/>
        <w:jc w:val="center"/>
        <w:rPr>
          <w:rFonts w:cstheme="minorHAnsi"/>
          <w:b/>
          <w:sz w:val="24"/>
          <w:szCs w:val="24"/>
        </w:rPr>
      </w:pPr>
      <w:r w:rsidRPr="00A41B77">
        <w:rPr>
          <w:rFonts w:cstheme="minorHAnsi"/>
          <w:b/>
          <w:sz w:val="24"/>
          <w:szCs w:val="24"/>
        </w:rPr>
        <w:lastRenderedPageBreak/>
        <w:t>Trabalhadores e empresas atuantes na região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2315"/>
        <w:gridCol w:w="2061"/>
        <w:gridCol w:w="1968"/>
      </w:tblGrid>
      <w:tr w:rsidR="00A41B77" w:rsidRPr="00A41B77" w:rsidTr="001B54F5">
        <w:tc>
          <w:tcPr>
            <w:tcW w:w="1656" w:type="dxa"/>
          </w:tcPr>
          <w:p w:rsidR="00F601C9" w:rsidRPr="00A41B77" w:rsidRDefault="00F601C9" w:rsidP="00A41B77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B77">
              <w:rPr>
                <w:rFonts w:cstheme="minorHAnsi"/>
                <w:b/>
                <w:sz w:val="24"/>
                <w:szCs w:val="24"/>
              </w:rPr>
              <w:t>Jurisdição da GRTE Osasco</w:t>
            </w:r>
          </w:p>
        </w:tc>
        <w:tc>
          <w:tcPr>
            <w:tcW w:w="2315" w:type="dxa"/>
          </w:tcPr>
          <w:p w:rsidR="00F601C9" w:rsidRPr="00A41B77" w:rsidRDefault="00A41B77" w:rsidP="00A41B77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B77">
              <w:rPr>
                <w:rFonts w:cstheme="minorHAnsi"/>
                <w:b/>
                <w:sz w:val="24"/>
                <w:szCs w:val="24"/>
              </w:rPr>
              <w:t>População ocupada com 15 anos ou mais em 2010</w:t>
            </w:r>
          </w:p>
        </w:tc>
        <w:tc>
          <w:tcPr>
            <w:tcW w:w="2061" w:type="dxa"/>
          </w:tcPr>
          <w:p w:rsidR="00F601C9" w:rsidRPr="00A41B77" w:rsidRDefault="00A41B77" w:rsidP="00A41B77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B77">
              <w:rPr>
                <w:rFonts w:cstheme="minorHAnsi"/>
                <w:b/>
                <w:sz w:val="24"/>
                <w:szCs w:val="24"/>
              </w:rPr>
              <w:t>Trabalhadores formais em 2014</w:t>
            </w:r>
          </w:p>
        </w:tc>
        <w:tc>
          <w:tcPr>
            <w:tcW w:w="1968" w:type="dxa"/>
          </w:tcPr>
          <w:p w:rsidR="00F601C9" w:rsidRPr="00A41B77" w:rsidRDefault="00A41B77" w:rsidP="00A41B77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B77">
              <w:rPr>
                <w:rFonts w:cstheme="minorHAnsi"/>
                <w:b/>
                <w:sz w:val="24"/>
                <w:szCs w:val="24"/>
              </w:rPr>
              <w:t>Empresas atuantes em 2010</w:t>
            </w:r>
          </w:p>
        </w:tc>
      </w:tr>
      <w:tr w:rsidR="00A41B77" w:rsidRPr="00A41B77" w:rsidTr="001B54F5">
        <w:tc>
          <w:tcPr>
            <w:tcW w:w="1656" w:type="dxa"/>
          </w:tcPr>
          <w:p w:rsidR="00F601C9" w:rsidRPr="00A41B77" w:rsidRDefault="00A41B77" w:rsidP="00A41B77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municípios</w:t>
            </w:r>
          </w:p>
        </w:tc>
        <w:tc>
          <w:tcPr>
            <w:tcW w:w="2315" w:type="dxa"/>
          </w:tcPr>
          <w:p w:rsidR="00F601C9" w:rsidRPr="00A41B77" w:rsidRDefault="00A41B77" w:rsidP="00A41B77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1.255.036</w:t>
            </w:r>
          </w:p>
        </w:tc>
        <w:tc>
          <w:tcPr>
            <w:tcW w:w="2061" w:type="dxa"/>
          </w:tcPr>
          <w:p w:rsidR="00F601C9" w:rsidRPr="00A41B77" w:rsidRDefault="00A41B77" w:rsidP="00A41B77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848.980</w:t>
            </w:r>
          </w:p>
        </w:tc>
        <w:tc>
          <w:tcPr>
            <w:tcW w:w="1968" w:type="dxa"/>
          </w:tcPr>
          <w:p w:rsidR="00F601C9" w:rsidRPr="00A41B77" w:rsidRDefault="00A41B77" w:rsidP="00A41B77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86.840</w:t>
            </w:r>
          </w:p>
        </w:tc>
      </w:tr>
    </w:tbl>
    <w:p w:rsidR="00F601C9" w:rsidRDefault="00763BBE" w:rsidP="00763BBE">
      <w:pPr>
        <w:pStyle w:val="PargrafodaLista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Fontes: RAIS, MTE, 2014 (consulta em 11/04/2016, às 11h24</w:t>
      </w:r>
      <w:proofErr w:type="gramStart"/>
      <w:r>
        <w:rPr>
          <w:rFonts w:cstheme="minorHAnsi"/>
          <w:sz w:val="20"/>
          <w:szCs w:val="20"/>
        </w:rPr>
        <w:t>)</w:t>
      </w:r>
      <w:proofErr w:type="gramEnd"/>
    </w:p>
    <w:p w:rsidR="00763BBE" w:rsidRDefault="00763BBE" w:rsidP="00763BBE">
      <w:pPr>
        <w:pStyle w:val="PargrafodaLista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Censo demográfico; IBGE, </w:t>
      </w:r>
      <w:proofErr w:type="gramStart"/>
      <w:r>
        <w:rPr>
          <w:rFonts w:cstheme="minorHAnsi"/>
          <w:sz w:val="20"/>
          <w:szCs w:val="20"/>
        </w:rPr>
        <w:t>2010</w:t>
      </w:r>
      <w:proofErr w:type="gramEnd"/>
    </w:p>
    <w:p w:rsidR="00763BBE" w:rsidRDefault="00763BBE" w:rsidP="00763BBE">
      <w:pPr>
        <w:pStyle w:val="PargrafodaLista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Cadastro Geral de Empresas 2011. Rio de Janeiro; IBGE, </w:t>
      </w:r>
      <w:proofErr w:type="gramStart"/>
      <w:r>
        <w:rPr>
          <w:rFonts w:cstheme="minorHAnsi"/>
          <w:sz w:val="20"/>
          <w:szCs w:val="20"/>
        </w:rPr>
        <w:t>2013</w:t>
      </w:r>
      <w:proofErr w:type="gramEnd"/>
    </w:p>
    <w:p w:rsidR="00763BBE" w:rsidRPr="00763BBE" w:rsidRDefault="00763BBE" w:rsidP="00F601C9">
      <w:pPr>
        <w:pStyle w:val="PargrafodaLista"/>
        <w:jc w:val="both"/>
        <w:rPr>
          <w:rFonts w:cstheme="minorHAnsi"/>
          <w:sz w:val="20"/>
          <w:szCs w:val="20"/>
        </w:rPr>
      </w:pPr>
    </w:p>
    <w:p w:rsidR="00F601C9" w:rsidRPr="00C44753" w:rsidRDefault="00A41B77" w:rsidP="00F601C9">
      <w:pPr>
        <w:pStyle w:val="PargrafodaLista"/>
        <w:jc w:val="both"/>
        <w:rPr>
          <w:rFonts w:cstheme="minorHAnsi"/>
          <w:b/>
          <w:sz w:val="24"/>
          <w:szCs w:val="24"/>
        </w:rPr>
      </w:pPr>
      <w:r w:rsidRPr="001B54F5">
        <w:rPr>
          <w:rFonts w:cstheme="minorHAnsi"/>
          <w:sz w:val="24"/>
          <w:szCs w:val="24"/>
        </w:rPr>
        <w:t>Segundo estudo produzido pela S</w:t>
      </w:r>
      <w:r w:rsidR="007A1304">
        <w:rPr>
          <w:rFonts w:cstheme="minorHAnsi"/>
          <w:sz w:val="24"/>
          <w:szCs w:val="24"/>
        </w:rPr>
        <w:t>uperintendênc</w:t>
      </w:r>
      <w:r w:rsidRPr="001B54F5">
        <w:rPr>
          <w:rFonts w:cstheme="minorHAnsi"/>
          <w:sz w:val="24"/>
          <w:szCs w:val="24"/>
        </w:rPr>
        <w:t xml:space="preserve">ia </w:t>
      </w:r>
      <w:r w:rsidR="00475183">
        <w:rPr>
          <w:rFonts w:cstheme="minorHAnsi"/>
          <w:sz w:val="24"/>
          <w:szCs w:val="24"/>
        </w:rPr>
        <w:t>Regional</w:t>
      </w:r>
      <w:r w:rsidRPr="001B54F5">
        <w:rPr>
          <w:rFonts w:cstheme="minorHAnsi"/>
          <w:sz w:val="24"/>
          <w:szCs w:val="24"/>
        </w:rPr>
        <w:t xml:space="preserve"> do Trabalho </w:t>
      </w:r>
      <w:r w:rsidR="00475183">
        <w:rPr>
          <w:rFonts w:cstheme="minorHAnsi"/>
          <w:sz w:val="24"/>
          <w:szCs w:val="24"/>
        </w:rPr>
        <w:t xml:space="preserve">e Emprego de São Paulo </w:t>
      </w:r>
      <w:r w:rsidRPr="001B54F5">
        <w:rPr>
          <w:rFonts w:cstheme="minorHAnsi"/>
          <w:sz w:val="24"/>
          <w:szCs w:val="24"/>
        </w:rPr>
        <w:t xml:space="preserve">– SRTE-SP, o número ideal de fiscais do trabalho seria de </w:t>
      </w:r>
      <w:proofErr w:type="gramStart"/>
      <w:r w:rsidRPr="001B54F5">
        <w:rPr>
          <w:rFonts w:cstheme="minorHAnsi"/>
          <w:sz w:val="24"/>
          <w:szCs w:val="24"/>
        </w:rPr>
        <w:t>1</w:t>
      </w:r>
      <w:proofErr w:type="gramEnd"/>
      <w:r w:rsidRPr="001B54F5">
        <w:rPr>
          <w:rFonts w:cstheme="minorHAnsi"/>
          <w:sz w:val="24"/>
          <w:szCs w:val="24"/>
        </w:rPr>
        <w:t xml:space="preserve"> auditor fiscal para cada 20 mil pessoas ocupadas, o que comprova o déficit de fiscalização trabalhista na região, agravando os riscos de ocorrência de acidentes de trabalho e de sua efetiva investigação, já que na década de 1990 havia cerca de 27 fiscais na região, número que caiu para 1</w:t>
      </w:r>
      <w:r w:rsidR="007A1304">
        <w:rPr>
          <w:rFonts w:cstheme="minorHAnsi"/>
          <w:sz w:val="24"/>
          <w:szCs w:val="24"/>
        </w:rPr>
        <w:t>1</w:t>
      </w:r>
      <w:r w:rsidRPr="001B54F5">
        <w:rPr>
          <w:rFonts w:cstheme="minorHAnsi"/>
          <w:sz w:val="24"/>
          <w:szCs w:val="24"/>
        </w:rPr>
        <w:t xml:space="preserve"> no ano de 201</w:t>
      </w:r>
      <w:r w:rsidR="007A1304">
        <w:rPr>
          <w:rFonts w:cstheme="minorHAnsi"/>
          <w:sz w:val="24"/>
          <w:szCs w:val="24"/>
        </w:rPr>
        <w:t>1</w:t>
      </w:r>
      <w:r w:rsidRPr="001B54F5">
        <w:rPr>
          <w:rFonts w:cstheme="minorHAnsi"/>
          <w:sz w:val="24"/>
          <w:szCs w:val="24"/>
        </w:rPr>
        <w:t xml:space="preserve"> e atualmente está reduzido a </w:t>
      </w:r>
      <w:r w:rsidR="00475183">
        <w:rPr>
          <w:rFonts w:cstheme="minorHAnsi"/>
          <w:sz w:val="24"/>
          <w:szCs w:val="24"/>
        </w:rPr>
        <w:t xml:space="preserve">13 auditores, dos quais apenas 6 atuam na fiscalização de segurança do trabalho, entre outros programas que estão vinculados. Dos </w:t>
      </w:r>
      <w:proofErr w:type="gramStart"/>
      <w:r w:rsidR="00475183">
        <w:rPr>
          <w:rFonts w:cstheme="minorHAnsi"/>
          <w:sz w:val="24"/>
          <w:szCs w:val="24"/>
        </w:rPr>
        <w:t>6</w:t>
      </w:r>
      <w:proofErr w:type="gramEnd"/>
      <w:r w:rsidR="00475183">
        <w:rPr>
          <w:rFonts w:cstheme="minorHAnsi"/>
          <w:sz w:val="24"/>
          <w:szCs w:val="24"/>
        </w:rPr>
        <w:t xml:space="preserve"> auditores, um tem previsão de aposentadoria para o primeiro semestre deste ano e outro divide o tempo desenvolvendo trabalhos de assessoria na </w:t>
      </w:r>
      <w:r w:rsidR="00C44753" w:rsidRPr="00C44753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Coordenadoria </w:t>
      </w:r>
      <w:r w:rsidR="0044216A" w:rsidRPr="0044216A">
        <w:rPr>
          <w:rFonts w:cstheme="minorHAnsi"/>
          <w:color w:val="000000" w:themeColor="text1"/>
          <w:sz w:val="24"/>
          <w:szCs w:val="24"/>
          <w:shd w:val="clear" w:color="auto" w:fill="FFFFFF"/>
        </w:rPr>
        <w:t>Seção de Segurança e Saúde no Trabalho</w:t>
      </w:r>
      <w:r w:rsidR="0044216A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– SEGUR/SRTE</w:t>
      </w:r>
      <w:r w:rsidR="00C44753">
        <w:rPr>
          <w:rStyle w:val="Forte"/>
          <w:rFonts w:cstheme="minorHAnsi"/>
          <w:b w:val="0"/>
          <w:color w:val="000000"/>
          <w:sz w:val="24"/>
          <w:szCs w:val="24"/>
          <w:shd w:val="clear" w:color="auto" w:fill="FFFFFF"/>
        </w:rPr>
        <w:t>-SP.</w:t>
      </w:r>
    </w:p>
    <w:p w:rsidR="00763BBE" w:rsidRPr="00763BBE" w:rsidRDefault="00763BBE" w:rsidP="00763BBE">
      <w:pPr>
        <w:pStyle w:val="PargrafodaLista"/>
        <w:jc w:val="center"/>
        <w:rPr>
          <w:rFonts w:cstheme="minorHAnsi"/>
          <w:b/>
          <w:sz w:val="24"/>
          <w:szCs w:val="24"/>
        </w:rPr>
      </w:pPr>
      <w:r w:rsidRPr="00763BBE">
        <w:rPr>
          <w:rFonts w:cstheme="minorHAnsi"/>
          <w:b/>
          <w:sz w:val="24"/>
          <w:szCs w:val="24"/>
        </w:rPr>
        <w:t>Déficit de fiscalização trabalhista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1166"/>
        <w:gridCol w:w="1528"/>
        <w:gridCol w:w="1559"/>
        <w:gridCol w:w="2658"/>
      </w:tblGrid>
      <w:tr w:rsidR="00763BBE" w:rsidTr="005279D1">
        <w:tc>
          <w:tcPr>
            <w:tcW w:w="1089" w:type="dxa"/>
          </w:tcPr>
          <w:p w:rsidR="00763BBE" w:rsidRP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3BBE">
              <w:rPr>
                <w:rFonts w:cstheme="minorHAnsi"/>
                <w:b/>
                <w:sz w:val="24"/>
                <w:szCs w:val="24"/>
              </w:rPr>
              <w:t>GRTE Osasco – Ano</w:t>
            </w:r>
          </w:p>
        </w:tc>
        <w:tc>
          <w:tcPr>
            <w:tcW w:w="1166" w:type="dxa"/>
          </w:tcPr>
          <w:p w:rsidR="00763BBE" w:rsidRP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3BBE">
              <w:rPr>
                <w:rFonts w:cstheme="minorHAnsi"/>
                <w:b/>
                <w:sz w:val="24"/>
                <w:szCs w:val="24"/>
              </w:rPr>
              <w:t>Nº de auditores fiscais</w:t>
            </w:r>
          </w:p>
        </w:tc>
        <w:tc>
          <w:tcPr>
            <w:tcW w:w="1528" w:type="dxa"/>
          </w:tcPr>
          <w:p w:rsidR="00763BBE" w:rsidRP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3BBE">
              <w:rPr>
                <w:rFonts w:cstheme="minorHAnsi"/>
                <w:b/>
                <w:sz w:val="24"/>
                <w:szCs w:val="24"/>
              </w:rPr>
              <w:t>Nº de auditores fiscais necessários</w:t>
            </w:r>
          </w:p>
        </w:tc>
        <w:tc>
          <w:tcPr>
            <w:tcW w:w="1559" w:type="dxa"/>
          </w:tcPr>
          <w:p w:rsidR="00763BBE" w:rsidRP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3BBE">
              <w:rPr>
                <w:rFonts w:cstheme="minorHAnsi"/>
                <w:b/>
                <w:sz w:val="24"/>
                <w:szCs w:val="24"/>
              </w:rPr>
              <w:t>Déficit de auditores fiscais</w:t>
            </w:r>
          </w:p>
        </w:tc>
        <w:tc>
          <w:tcPr>
            <w:tcW w:w="2658" w:type="dxa"/>
          </w:tcPr>
          <w:p w:rsidR="00763BBE" w:rsidRP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3BBE">
              <w:rPr>
                <w:rFonts w:cstheme="minorHAnsi"/>
                <w:b/>
                <w:sz w:val="24"/>
                <w:szCs w:val="24"/>
              </w:rPr>
              <w:t>População ocupada com 15 anos ou mais para cada auditor fiscal</w:t>
            </w:r>
          </w:p>
        </w:tc>
      </w:tr>
      <w:tr w:rsidR="00763BBE" w:rsidTr="005279D1">
        <w:tc>
          <w:tcPr>
            <w:tcW w:w="1089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1166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528" w:type="dxa"/>
          </w:tcPr>
          <w:p w:rsidR="00763BBE" w:rsidRDefault="00C44753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63BBE" w:rsidRDefault="00C44753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58" w:type="dxa"/>
          </w:tcPr>
          <w:p w:rsidR="00763BBE" w:rsidRDefault="00C44753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763BBE" w:rsidTr="005279D1">
        <w:tc>
          <w:tcPr>
            <w:tcW w:w="1089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1166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28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82,5%</w:t>
            </w:r>
          </w:p>
        </w:tc>
        <w:tc>
          <w:tcPr>
            <w:tcW w:w="2658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78.440</w:t>
            </w:r>
          </w:p>
        </w:tc>
      </w:tr>
      <w:tr w:rsidR="00763BBE" w:rsidTr="005279D1">
        <w:tc>
          <w:tcPr>
            <w:tcW w:w="1089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2016</w:t>
            </w:r>
          </w:p>
        </w:tc>
        <w:tc>
          <w:tcPr>
            <w:tcW w:w="1166" w:type="dxa"/>
          </w:tcPr>
          <w:p w:rsidR="00763BBE" w:rsidRDefault="00A517D9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44753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528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763BBE" w:rsidRDefault="00C44753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90,4%</w:t>
            </w:r>
          </w:p>
        </w:tc>
        <w:tc>
          <w:tcPr>
            <w:tcW w:w="2658" w:type="dxa"/>
          </w:tcPr>
          <w:p w:rsidR="00763BBE" w:rsidRDefault="00763BBE" w:rsidP="005279D1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78.440</w:t>
            </w:r>
          </w:p>
        </w:tc>
      </w:tr>
    </w:tbl>
    <w:p w:rsidR="00763BBE" w:rsidRDefault="00763BBE" w:rsidP="00763BBE">
      <w:pPr>
        <w:pStyle w:val="PargrafodaLista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Fontes: Projeção a partir de informação da SRTE-SP, junho 2009 e Censo Demográfico do IBGE, </w:t>
      </w:r>
      <w:proofErr w:type="gramStart"/>
      <w:r>
        <w:rPr>
          <w:rFonts w:cstheme="minorHAnsi"/>
          <w:sz w:val="20"/>
          <w:szCs w:val="20"/>
        </w:rPr>
        <w:t>2010</w:t>
      </w:r>
      <w:proofErr w:type="gramEnd"/>
    </w:p>
    <w:p w:rsidR="00763BBE" w:rsidRDefault="00C44753" w:rsidP="00763BBE">
      <w:pPr>
        <w:pStyle w:val="PargrafodaLista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(*) Atualmente, há </w:t>
      </w:r>
      <w:proofErr w:type="gramStart"/>
      <w:r>
        <w:rPr>
          <w:rFonts w:cstheme="minorHAnsi"/>
          <w:sz w:val="20"/>
          <w:szCs w:val="20"/>
        </w:rPr>
        <w:t>6</w:t>
      </w:r>
      <w:proofErr w:type="gramEnd"/>
      <w:r>
        <w:rPr>
          <w:rFonts w:cstheme="minorHAnsi"/>
          <w:sz w:val="20"/>
          <w:szCs w:val="20"/>
        </w:rPr>
        <w:t xml:space="preserve"> auditores fiscais no Programa de Segurança</w:t>
      </w:r>
    </w:p>
    <w:p w:rsidR="005D178D" w:rsidRDefault="005D178D" w:rsidP="00763BB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763BBE" w:rsidRDefault="00763BBE" w:rsidP="00763BB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Este déficit de fiscais significa sofrimento para os trabalhadores. Aqueles que trabalham em empresas negligentes vivem </w:t>
      </w:r>
      <w:r w:rsidR="00E926F8">
        <w:rPr>
          <w:rFonts w:cstheme="minorHAnsi"/>
          <w:sz w:val="24"/>
          <w:szCs w:val="24"/>
        </w:rPr>
        <w:t>debaixo de</w:t>
      </w:r>
      <w:r>
        <w:rPr>
          <w:rFonts w:cstheme="minorHAnsi"/>
          <w:sz w:val="24"/>
          <w:szCs w:val="24"/>
        </w:rPr>
        <w:t xml:space="preserve"> ameaça constante de acidentes de trabalho, de violação de direitos trabalhistas, de assédio moral, de desrespeito à</w:t>
      </w:r>
      <w:r w:rsidR="005279D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convenções coletivas de trabalho, de não poder se aposentar </w:t>
      </w:r>
      <w:r w:rsidR="005279D1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ela regra da Aposentadoria Especial</w:t>
      </w:r>
      <w:r w:rsidR="00855230">
        <w:rPr>
          <w:rFonts w:cstheme="minorHAnsi"/>
          <w:sz w:val="24"/>
          <w:szCs w:val="24"/>
        </w:rPr>
        <w:t xml:space="preserve"> se tiver contato com agentes insalubres, porque a ausência e/ou omissão da fiscalização abre possibilidades para confecção de </w:t>
      </w:r>
      <w:r w:rsidR="00855230">
        <w:rPr>
          <w:rFonts w:cstheme="minorHAnsi"/>
          <w:sz w:val="24"/>
          <w:szCs w:val="24"/>
        </w:rPr>
        <w:lastRenderedPageBreak/>
        <w:t>laudos ambientais “fajutos”, transformando, em “paraíso”, ambientes ruidosos, com riscos químicos etc.</w:t>
      </w:r>
    </w:p>
    <w:p w:rsidR="00855230" w:rsidRDefault="00855230" w:rsidP="00763BB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855230" w:rsidRDefault="00855230" w:rsidP="00763BB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prática, a caótica fiscalização é cúmplice das mortes, mutilações e da interrupção precoce da força de trabalho </w:t>
      </w:r>
      <w:r w:rsidR="00C44753"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Osasco e região.</w:t>
      </w:r>
    </w:p>
    <w:p w:rsidR="00855230" w:rsidRDefault="00855230" w:rsidP="00763BB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855230" w:rsidRDefault="007101CB" w:rsidP="00763BB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855230">
        <w:rPr>
          <w:rFonts w:cstheme="minorHAnsi"/>
          <w:sz w:val="24"/>
          <w:szCs w:val="24"/>
        </w:rPr>
        <w:t>utro agravante</w:t>
      </w:r>
      <w:r>
        <w:rPr>
          <w:rFonts w:cstheme="minorHAnsi"/>
          <w:sz w:val="24"/>
          <w:szCs w:val="24"/>
        </w:rPr>
        <w:t xml:space="preserve"> está representado pelo desrespeito à Convenção 148 da OIT, por parte de vários auditores fiscais, ignorando a presença sindical no planejamento, na execução e na avaliação das fiscalizações, sobre aspectos de segurança do trabalho, comprometendo a qualidade e o resultado das ações neste campo.</w:t>
      </w:r>
    </w:p>
    <w:p w:rsidR="00DF1CBD" w:rsidRDefault="00DF1CBD" w:rsidP="00763BB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7101CB" w:rsidRDefault="007A1304" w:rsidP="007A1304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Repercussão nas Ações Regressivas Acidentárias</w:t>
      </w:r>
    </w:p>
    <w:p w:rsidR="007A1304" w:rsidRDefault="007A1304" w:rsidP="007A1304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7A1304" w:rsidRDefault="007A1304" w:rsidP="007A1304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Procuradoria Seccional da Advocacia Geral da União em Osasco tem informado aos sindicatos que recebe poucos (e frágeis) relatórios de investigações de acidentes graves e fatais por parte da GRTE-Osasco.</w:t>
      </w:r>
    </w:p>
    <w:p w:rsidR="007A1304" w:rsidRDefault="007A1304" w:rsidP="007A1304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7A1304" w:rsidRDefault="007A1304" w:rsidP="007A1304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baixa qualidade das investigações e sua morosidade estão dificultando</w:t>
      </w:r>
      <w:r w:rsidR="00271006">
        <w:rPr>
          <w:rFonts w:cstheme="minorHAnsi"/>
          <w:sz w:val="24"/>
          <w:szCs w:val="24"/>
        </w:rPr>
        <w:t xml:space="preserve"> a abertura de Ações Regressivas Acidentárias, previstas no Art. 120 da Lei 8.213/91</w:t>
      </w:r>
      <w:r w:rsidR="002E5C66">
        <w:rPr>
          <w:rFonts w:cstheme="minorHAnsi"/>
          <w:sz w:val="24"/>
          <w:szCs w:val="24"/>
        </w:rPr>
        <w:t>,</w:t>
      </w:r>
      <w:r w:rsidR="00271006">
        <w:rPr>
          <w:rFonts w:cstheme="minorHAnsi"/>
          <w:sz w:val="24"/>
          <w:szCs w:val="24"/>
        </w:rPr>
        <w:t xml:space="preserve"> contra empresas que negligenciam medidas de proteção e dando causas a acidentes na região.</w:t>
      </w:r>
    </w:p>
    <w:p w:rsidR="00271006" w:rsidRDefault="00271006" w:rsidP="007A1304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271006" w:rsidRDefault="00271006" w:rsidP="007A1304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Procuradoria abre cerca de dez ações anuais, mas só as mortes decorrentes de acidentes de trabalho (oficiais) somam 192 nos últimos </w:t>
      </w:r>
      <w:proofErr w:type="gramStart"/>
      <w:r>
        <w:rPr>
          <w:rFonts w:cstheme="minorHAnsi"/>
          <w:sz w:val="24"/>
          <w:szCs w:val="24"/>
        </w:rPr>
        <w:t>5</w:t>
      </w:r>
      <w:proofErr w:type="gramEnd"/>
      <w:r>
        <w:rPr>
          <w:rFonts w:cstheme="minorHAnsi"/>
          <w:sz w:val="24"/>
          <w:szCs w:val="24"/>
        </w:rPr>
        <w:t xml:space="preserve"> anos, sendo forçoso reconhecer que estes números significam convite à impunidade de empresas infratoras, causando prejuízo aos trabalhadores e ao Estado.</w:t>
      </w:r>
    </w:p>
    <w:p w:rsidR="00E2643D" w:rsidRDefault="00E2643D" w:rsidP="007A1304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271006" w:rsidRDefault="002E5C66" w:rsidP="002E5C66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Governo conivente com esta situação</w:t>
      </w:r>
    </w:p>
    <w:p w:rsidR="00E2643D" w:rsidRDefault="00E2643D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2E5C66" w:rsidRDefault="002E5C66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</w:t>
      </w:r>
      <w:proofErr w:type="gramStart"/>
      <w:r>
        <w:rPr>
          <w:rFonts w:cstheme="minorHAnsi"/>
          <w:sz w:val="24"/>
          <w:szCs w:val="24"/>
        </w:rPr>
        <w:t>1</w:t>
      </w:r>
      <w:proofErr w:type="gramEnd"/>
      <w:r>
        <w:rPr>
          <w:rFonts w:cstheme="minorHAnsi"/>
          <w:sz w:val="24"/>
          <w:szCs w:val="24"/>
        </w:rPr>
        <w:t xml:space="preserve"> de setembro de 2011, foi feita uma manifestação </w:t>
      </w:r>
      <w:r w:rsidR="00C44753">
        <w:rPr>
          <w:rFonts w:cstheme="minorHAnsi"/>
          <w:sz w:val="24"/>
          <w:szCs w:val="24"/>
        </w:rPr>
        <w:t xml:space="preserve">pelo movimento sindical de Osasco, </w:t>
      </w:r>
      <w:r>
        <w:rPr>
          <w:rFonts w:cstheme="minorHAnsi"/>
          <w:sz w:val="24"/>
          <w:szCs w:val="24"/>
        </w:rPr>
        <w:t xml:space="preserve">em frente à SRTE-SP, alertando a existência de apenas 11 fiscais na região, entregando um documento que sintetizava esta situação alarmante ao representante do Ministério, </w:t>
      </w:r>
      <w:proofErr w:type="spellStart"/>
      <w:r>
        <w:rPr>
          <w:rFonts w:cstheme="minorHAnsi"/>
          <w:sz w:val="24"/>
          <w:szCs w:val="24"/>
        </w:rPr>
        <w:t>Dr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Makoto</w:t>
      </w:r>
      <w:proofErr w:type="spellEnd"/>
      <w:r>
        <w:rPr>
          <w:rFonts w:cstheme="minorHAnsi"/>
          <w:sz w:val="24"/>
          <w:szCs w:val="24"/>
        </w:rPr>
        <w:t xml:space="preserve"> Sato, que se manifestou solidário em relação ao seu conteúdo. No ato, trabalhadores caracterizados de “zumbis” se fizeram presentes.</w:t>
      </w:r>
    </w:p>
    <w:p w:rsidR="00E8671D" w:rsidRPr="00EA7490" w:rsidRDefault="00DA682E" w:rsidP="00EA7490">
      <w:pPr>
        <w:spacing w:line="240" w:lineRule="auto"/>
        <w:jc w:val="both"/>
        <w:rPr>
          <w:rFonts w:cstheme="minorHAnsi"/>
          <w:sz w:val="24"/>
          <w:szCs w:val="24"/>
        </w:rPr>
      </w:pPr>
      <w:r w:rsidRPr="00E8671D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67289" wp14:editId="1F14AD44">
                <wp:simplePos x="0" y="0"/>
                <wp:positionH relativeFrom="column">
                  <wp:posOffset>453390</wp:posOffset>
                </wp:positionH>
                <wp:positionV relativeFrom="paragraph">
                  <wp:posOffset>1590675</wp:posOffset>
                </wp:positionV>
                <wp:extent cx="2273300" cy="495300"/>
                <wp:effectExtent l="0" t="0" r="1270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65C" w:rsidRDefault="0071065C" w:rsidP="006B1B89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t>: Saindo de Osasco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.7pt;margin-top:125.25pt;width:17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">
                <v:textbox>
                  <w:txbxContent>
                    <w:p w:rsidR="0071065C" w:rsidRDefault="0071065C" w:rsidP="006B1B89">
                      <w:pPr>
                        <w:jc w:val="center"/>
                      </w:pPr>
                      <w:r>
                        <w:t xml:space="preserve">Foto </w:t>
                      </w:r>
                      <w:proofErr w:type="gramStart"/>
                      <w:r>
                        <w:t>1</w:t>
                      </w:r>
                      <w:proofErr w:type="gramEnd"/>
                      <w:r>
                        <w:t>: Saindo de Osasco</w:t>
                      </w:r>
                    </w:p>
                  </w:txbxContent>
                </v:textbox>
              </v:shape>
            </w:pict>
          </mc:Fallback>
        </mc:AlternateContent>
      </w:r>
      <w:r w:rsidR="00DF1CBD" w:rsidRPr="00E867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518B" wp14:editId="1CD43809">
                <wp:simplePos x="0" y="0"/>
                <wp:positionH relativeFrom="column">
                  <wp:posOffset>2977515</wp:posOffset>
                </wp:positionH>
                <wp:positionV relativeFrom="paragraph">
                  <wp:posOffset>1590675</wp:posOffset>
                </wp:positionV>
                <wp:extent cx="2276475" cy="495300"/>
                <wp:effectExtent l="0" t="0" r="28575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65C" w:rsidRDefault="0071065C" w:rsidP="006B1B89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  <w:r>
                              <w:t>: Entregando documento na SRTE-SP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4.45pt;margin-top:125.25pt;width:179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">
                <v:textbox>
                  <w:txbxContent>
                    <w:p w:rsidR="0071065C" w:rsidRDefault="0071065C" w:rsidP="006B1B89">
                      <w:pPr>
                        <w:jc w:val="center"/>
                      </w:pPr>
                      <w:r>
                        <w:t xml:space="preserve">Foto </w:t>
                      </w:r>
                      <w:proofErr w:type="gramStart"/>
                      <w:r>
                        <w:t>2</w:t>
                      </w:r>
                      <w:proofErr w:type="gramEnd"/>
                      <w:r>
                        <w:t>: Entregando documento na SRTE-SP</w:t>
                      </w:r>
                    </w:p>
                  </w:txbxContent>
                </v:textbox>
              </v:shape>
            </w:pict>
          </mc:Fallback>
        </mc:AlternateContent>
      </w:r>
      <w:r w:rsidR="00EA7490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  <w:r w:rsidR="00EA7490">
        <w:rPr>
          <w:rFonts w:cstheme="minorHAnsi"/>
          <w:sz w:val="24"/>
          <w:szCs w:val="24"/>
        </w:rPr>
        <w:t xml:space="preserve"> </w:t>
      </w:r>
      <w:r w:rsidR="00EA7490">
        <w:rPr>
          <w:noProof/>
          <w:lang w:eastAsia="pt-BR"/>
        </w:rPr>
        <w:drawing>
          <wp:inline distT="0" distB="0" distL="0" distR="0" wp14:anchorId="4D772F3F" wp14:editId="705C678A">
            <wp:extent cx="2241551" cy="1574800"/>
            <wp:effectExtent l="0" t="0" r="6350" b="6350"/>
            <wp:docPr id="2" name="Imagem 2" descr="S:\DAS\CIPA\2016\zumb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AS\CIPA\2016\zumbi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61" cy="158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  </w:t>
      </w:r>
      <w:r w:rsidR="00EA7490">
        <w:rPr>
          <w:noProof/>
          <w:lang w:eastAsia="pt-BR"/>
        </w:rPr>
        <w:drawing>
          <wp:inline distT="0" distB="0" distL="0" distR="0" wp14:anchorId="1B931943" wp14:editId="753CD19D">
            <wp:extent cx="2273300" cy="1574800"/>
            <wp:effectExtent l="0" t="0" r="0" b="6350"/>
            <wp:docPr id="1" name="Imagem 1" descr="S:\DAS\CIPA\2016\zumb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S\CIPA\2016\zumbi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839" cy="157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71D" w:rsidRDefault="00E8671D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E8671D" w:rsidRDefault="00E8671D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DA682E" w:rsidRDefault="00DA682E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2E5C66" w:rsidRDefault="002E5C66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</w:t>
      </w:r>
      <w:proofErr w:type="gramStart"/>
      <w:r>
        <w:rPr>
          <w:rFonts w:cstheme="minorHAnsi"/>
          <w:sz w:val="24"/>
          <w:szCs w:val="24"/>
        </w:rPr>
        <w:t>4</w:t>
      </w:r>
      <w:proofErr w:type="gramEnd"/>
      <w:r>
        <w:rPr>
          <w:rFonts w:cstheme="minorHAnsi"/>
          <w:sz w:val="24"/>
          <w:szCs w:val="24"/>
        </w:rPr>
        <w:t xml:space="preserve"> de fevereiro de 2014, </w:t>
      </w:r>
      <w:r w:rsidR="00BC3D1E">
        <w:rPr>
          <w:rFonts w:cstheme="minorHAnsi"/>
          <w:sz w:val="24"/>
          <w:szCs w:val="24"/>
        </w:rPr>
        <w:t xml:space="preserve">o movimento sindical da região alertou que a situação era ainda mais grave, onde o próprio superintendente regional, Luiz Antonio de Medeiros, veio a Osasco após receber representantes do CISSOR e viu de perto esta dura realidade ao conhecer Ricardo Cesar Coura, </w:t>
      </w:r>
      <w:r w:rsidR="006B1B89">
        <w:rPr>
          <w:rFonts w:cstheme="minorHAnsi"/>
          <w:sz w:val="24"/>
          <w:szCs w:val="24"/>
        </w:rPr>
        <w:t xml:space="preserve">em 18 de fevereiro de 2014, </w:t>
      </w:r>
      <w:r w:rsidR="00BC3D1E">
        <w:rPr>
          <w:rFonts w:cstheme="minorHAnsi"/>
          <w:sz w:val="24"/>
          <w:szCs w:val="24"/>
        </w:rPr>
        <w:t>que teve suas duas mãos amputadas por acidente de trabalho em 30 de dezembro de 2013 e, até aquele momento, nenhum fiscal compareceu na empresas para conferir o que aconteceu. N</w:t>
      </w:r>
      <w:r w:rsidR="000B29CD">
        <w:rPr>
          <w:rFonts w:cstheme="minorHAnsi"/>
          <w:sz w:val="24"/>
          <w:szCs w:val="24"/>
        </w:rPr>
        <w:t>este caso, o fiscal só chegou à</w:t>
      </w:r>
      <w:r w:rsidR="00BC3D1E">
        <w:rPr>
          <w:rFonts w:cstheme="minorHAnsi"/>
          <w:sz w:val="24"/>
          <w:szCs w:val="24"/>
        </w:rPr>
        <w:t xml:space="preserve"> máquina que gerou a amputação após 81 dias da tragédia.</w:t>
      </w:r>
    </w:p>
    <w:p w:rsidR="00BC3D1E" w:rsidRDefault="00BC3D1E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6B1B89" w:rsidRDefault="006B1B89" w:rsidP="00C44753">
      <w:pPr>
        <w:pStyle w:val="PargrafodaLista"/>
        <w:tabs>
          <w:tab w:val="left" w:pos="4820"/>
        </w:tabs>
        <w:spacing w:line="240" w:lineRule="auto"/>
        <w:ind w:firstLine="273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4D1BE2A4" wp14:editId="41D291D5">
            <wp:extent cx="2120900" cy="1413933"/>
            <wp:effectExtent l="0" t="0" r="0" b="0"/>
            <wp:docPr id="4" name="Imagem 4" descr="S:\DAS\CIPA\2016\medeiro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AS\CIPA\2016\medeiros 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57" cy="141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46317391" wp14:editId="722B5DAF">
            <wp:extent cx="2235200" cy="1409700"/>
            <wp:effectExtent l="0" t="0" r="0" b="0"/>
            <wp:docPr id="5" name="Imagem 5" descr="S:\DAS\CIPA\2016\medeiro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DAS\CIPA\2016\medeiros 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073" cy="14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B89" w:rsidRDefault="00C44753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 w:rsidRPr="00E8671D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56C33" wp14:editId="3804AF6D">
                <wp:simplePos x="0" y="0"/>
                <wp:positionH relativeFrom="column">
                  <wp:posOffset>3060065</wp:posOffset>
                </wp:positionH>
                <wp:positionV relativeFrom="paragraph">
                  <wp:posOffset>-5715</wp:posOffset>
                </wp:positionV>
                <wp:extent cx="2235200" cy="622300"/>
                <wp:effectExtent l="0" t="0" r="12700" b="2540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65C" w:rsidRDefault="0071065C" w:rsidP="006B1B89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  <w:r>
                              <w:t>: Na GRTE-SP, ele confere a precariedade da fiscalização em Osasco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0.95pt;margin-top:-.45pt;width:176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">
                <v:textbox>
                  <w:txbxContent>
                    <w:p w:rsidR="0071065C" w:rsidRDefault="0071065C" w:rsidP="006B1B89">
                      <w:pPr>
                        <w:jc w:val="center"/>
                      </w:pPr>
                      <w:r>
                        <w:t xml:space="preserve">Foto </w:t>
                      </w:r>
                      <w:proofErr w:type="gramStart"/>
                      <w:r>
                        <w:t>4</w:t>
                      </w:r>
                      <w:proofErr w:type="gramEnd"/>
                      <w:r>
                        <w:t>: Na GRTE-SP, ele confere a precariedade da fiscalização em Osasco</w:t>
                      </w:r>
                    </w:p>
                  </w:txbxContent>
                </v:textbox>
              </v:shape>
            </w:pict>
          </mc:Fallback>
        </mc:AlternateContent>
      </w:r>
      <w:r w:rsidR="006B1B89" w:rsidRPr="00E8671D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59E1E" wp14:editId="25FFDC43">
                <wp:simplePos x="0" y="0"/>
                <wp:positionH relativeFrom="column">
                  <wp:posOffset>634365</wp:posOffset>
                </wp:positionH>
                <wp:positionV relativeFrom="paragraph">
                  <wp:posOffset>-5080</wp:posOffset>
                </wp:positionV>
                <wp:extent cx="2120900" cy="520700"/>
                <wp:effectExtent l="0" t="0" r="12700" b="1270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65C" w:rsidRDefault="0071065C" w:rsidP="006B1B89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  <w:proofErr w:type="gramStart"/>
                            <w:r>
                              <w:t>3</w:t>
                            </w:r>
                            <w:proofErr w:type="gramEnd"/>
                            <w:r>
                              <w:t>: Medeiros reunido com representantes do CISSOR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9.95pt;margin-top:-.4pt;width:167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">
                <v:textbox>
                  <w:txbxContent>
                    <w:p w:rsidR="0071065C" w:rsidRDefault="0071065C" w:rsidP="006B1B89">
                      <w:pPr>
                        <w:jc w:val="center"/>
                      </w:pPr>
                      <w:r>
                        <w:t xml:space="preserve">Foto </w:t>
                      </w:r>
                      <w:proofErr w:type="gramStart"/>
                      <w:r>
                        <w:t>3</w:t>
                      </w:r>
                      <w:proofErr w:type="gramEnd"/>
                      <w:r>
                        <w:t>: Medeiros reunido com representantes do CISSOR</w:t>
                      </w:r>
                    </w:p>
                  </w:txbxContent>
                </v:textbox>
              </v:shape>
            </w:pict>
          </mc:Fallback>
        </mc:AlternateContent>
      </w:r>
    </w:p>
    <w:p w:rsidR="006B1B89" w:rsidRDefault="006B1B89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6B1B89" w:rsidRDefault="006B1B89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6B1B89" w:rsidRDefault="006B1B89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0B29CD" w:rsidRDefault="00C44753" w:rsidP="002E5C66">
      <w:pPr>
        <w:pStyle w:val="PargrafodaLista"/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24 de agosto de 2014, foi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vez de o Procurador Geral da República, Rodrigo </w:t>
      </w:r>
      <w:proofErr w:type="spellStart"/>
      <w:r>
        <w:rPr>
          <w:rFonts w:cstheme="minorHAnsi"/>
          <w:sz w:val="24"/>
          <w:szCs w:val="24"/>
        </w:rPr>
        <w:t>Janot</w:t>
      </w:r>
      <w:proofErr w:type="spellEnd"/>
      <w:r>
        <w:rPr>
          <w:rFonts w:cstheme="minorHAnsi"/>
          <w:sz w:val="24"/>
          <w:szCs w:val="24"/>
        </w:rPr>
        <w:t xml:space="preserve">, receber documento demonstrando que entre </w:t>
      </w:r>
      <w:r w:rsidR="005079DF">
        <w:rPr>
          <w:sz w:val="24"/>
          <w:szCs w:val="24"/>
        </w:rPr>
        <w:t>março/2010 a junho/2014, a fiscalização levou, em média, 28 dias para realizar a diligência ao local do acidente e 195 para concluir a fiscalização das denúncias de acidentes graves ou fatais ocorridos nas empresas metalúrgicas da região.</w:t>
      </w:r>
    </w:p>
    <w:p w:rsidR="005079DF" w:rsidRDefault="005079DF" w:rsidP="005079DF">
      <w:pPr>
        <w:pStyle w:val="PargrafodaLista"/>
        <w:spacing w:line="240" w:lineRule="auto"/>
        <w:ind w:left="284"/>
        <w:jc w:val="both"/>
        <w:rPr>
          <w:sz w:val="24"/>
          <w:szCs w:val="24"/>
        </w:rPr>
      </w:pPr>
    </w:p>
    <w:p w:rsidR="005079DF" w:rsidRDefault="00A54F85" w:rsidP="00A54F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Amianto</w:t>
      </w:r>
    </w:p>
    <w:p w:rsidR="00A54F85" w:rsidRPr="00A54F85" w:rsidRDefault="00A54F85" w:rsidP="00A54F85">
      <w:pPr>
        <w:spacing w:line="240" w:lineRule="auto"/>
        <w:ind w:left="709" w:hanging="1"/>
        <w:jc w:val="both"/>
        <w:rPr>
          <w:rFonts w:cstheme="minorHAnsi"/>
          <w:sz w:val="24"/>
          <w:szCs w:val="24"/>
        </w:rPr>
      </w:pPr>
      <w:r w:rsidRPr="00A54F85">
        <w:rPr>
          <w:rFonts w:cstheme="minorHAnsi"/>
          <w:sz w:val="24"/>
          <w:szCs w:val="24"/>
        </w:rPr>
        <w:t xml:space="preserve">Os participantes </w:t>
      </w:r>
      <w:r>
        <w:rPr>
          <w:rFonts w:cstheme="minorHAnsi"/>
          <w:sz w:val="24"/>
          <w:szCs w:val="24"/>
        </w:rPr>
        <w:t xml:space="preserve">do ato de 28/04/2016 </w:t>
      </w:r>
      <w:r w:rsidR="00DA682E">
        <w:rPr>
          <w:rFonts w:cstheme="minorHAnsi"/>
          <w:sz w:val="24"/>
          <w:szCs w:val="24"/>
        </w:rPr>
        <w:t>aplaudiram a decisão do</w:t>
      </w:r>
      <w:r>
        <w:rPr>
          <w:rFonts w:cstheme="minorHAnsi"/>
          <w:sz w:val="24"/>
          <w:szCs w:val="24"/>
        </w:rPr>
        <w:t xml:space="preserve"> Minist</w:t>
      </w:r>
      <w:r w:rsidR="00217036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 do Trabalho </w:t>
      </w:r>
      <w:r w:rsidR="00217036">
        <w:rPr>
          <w:rFonts w:cstheme="minorHAnsi"/>
          <w:sz w:val="24"/>
          <w:szCs w:val="24"/>
        </w:rPr>
        <w:t xml:space="preserve">Miguel </w:t>
      </w:r>
      <w:proofErr w:type="spellStart"/>
      <w:r w:rsidR="00217036">
        <w:rPr>
          <w:rFonts w:cstheme="minorHAnsi"/>
          <w:sz w:val="24"/>
          <w:szCs w:val="24"/>
        </w:rPr>
        <w:t>Rosseto</w:t>
      </w:r>
      <w:proofErr w:type="spellEnd"/>
      <w:r w:rsidR="00217036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 xml:space="preserve"> revog</w:t>
      </w:r>
      <w:r w:rsidR="00217036"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 xml:space="preserve"> a portaria 1.287, de 30/09/2015, que instituiu a Comissão Especial para Debater O Uso do Amianto – CEDUA no Brasil, porque depois de vários anos de debates e estudos sobre o assunto, o movimento sindical e a Associação Brasileira dos Expostos ao Amianto têm clareza de que o amianto, que é cancerígeno, não se discute; deve ser banido como única maneira de se evitar novas doenças e vítimas.</w:t>
      </w:r>
      <w:r w:rsidR="00217036">
        <w:rPr>
          <w:rFonts w:cstheme="minorHAnsi"/>
          <w:sz w:val="24"/>
          <w:szCs w:val="24"/>
        </w:rPr>
        <w:t xml:space="preserve"> (A revogação se deu ontem, através da Portaria 453, de 27/04/2016.</w:t>
      </w:r>
      <w:proofErr w:type="gramStart"/>
      <w:r w:rsidR="00217036">
        <w:rPr>
          <w:rFonts w:cstheme="minorHAnsi"/>
          <w:sz w:val="24"/>
          <w:szCs w:val="24"/>
        </w:rPr>
        <w:t>)</w:t>
      </w:r>
      <w:proofErr w:type="gramEnd"/>
    </w:p>
    <w:p w:rsidR="00A54F85" w:rsidRDefault="00A54F85" w:rsidP="00A54F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Mercúrio</w:t>
      </w:r>
    </w:p>
    <w:p w:rsidR="00A54F85" w:rsidRDefault="00A54F85" w:rsidP="00DF056D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4F85" w:rsidRDefault="00A54F85" w:rsidP="00A54F85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Apesar da comprovação da existência de contaminação por mercúrio utilizado no processo de fabricação de lâmpadas na empresa </w:t>
      </w:r>
      <w:proofErr w:type="spellStart"/>
      <w:r>
        <w:rPr>
          <w:rFonts w:cstheme="minorHAnsi"/>
          <w:sz w:val="24"/>
          <w:szCs w:val="24"/>
        </w:rPr>
        <w:t>Osram</w:t>
      </w:r>
      <w:proofErr w:type="spellEnd"/>
      <w:r>
        <w:rPr>
          <w:rFonts w:cstheme="minorHAnsi"/>
          <w:sz w:val="24"/>
          <w:szCs w:val="24"/>
        </w:rPr>
        <w:t xml:space="preserve"> desde 1991, houve um silêncio por parte de vários órgãos públicos para enfrentar o problema tanto na fiscalização quanto na proteção dos trabalhadores contaminados.</w:t>
      </w:r>
    </w:p>
    <w:p w:rsidR="00A54F85" w:rsidRDefault="00A54F85" w:rsidP="00A54F85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DF056D" w:rsidRDefault="00A54F85" w:rsidP="00A54F85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Após 21 anos, em setembro de 2012, o Ministério Público do Trabalho decidiu se posicionar com ajuiza</w:t>
      </w:r>
      <w:r w:rsidR="005D178D">
        <w:rPr>
          <w:rFonts w:cstheme="minorHAnsi"/>
          <w:sz w:val="24"/>
          <w:szCs w:val="24"/>
        </w:rPr>
        <w:t>mento</w:t>
      </w:r>
      <w:r>
        <w:rPr>
          <w:rFonts w:cstheme="minorHAnsi"/>
          <w:sz w:val="24"/>
          <w:szCs w:val="24"/>
        </w:rPr>
        <w:t xml:space="preserve"> de Ação Civil Pública</w:t>
      </w:r>
      <w:r w:rsidR="00DF056D">
        <w:rPr>
          <w:rFonts w:cstheme="minorHAnsi"/>
          <w:sz w:val="24"/>
          <w:szCs w:val="24"/>
        </w:rPr>
        <w:t xml:space="preserve">, visando coibir novas contaminações e garantir um mínimo de proteção </w:t>
      </w:r>
      <w:proofErr w:type="gramStart"/>
      <w:r w:rsidR="00DF056D">
        <w:rPr>
          <w:rFonts w:cstheme="minorHAnsi"/>
          <w:sz w:val="24"/>
          <w:szCs w:val="24"/>
        </w:rPr>
        <w:t>a</w:t>
      </w:r>
      <w:proofErr w:type="gramEnd"/>
      <w:r w:rsidR="00DF056D">
        <w:rPr>
          <w:rFonts w:cstheme="minorHAnsi"/>
          <w:sz w:val="24"/>
          <w:szCs w:val="24"/>
        </w:rPr>
        <w:t xml:space="preserve"> parte dos trabalhadores vitimados.</w:t>
      </w:r>
      <w:r w:rsidR="0071065C">
        <w:rPr>
          <w:rFonts w:cstheme="minorHAnsi"/>
          <w:sz w:val="24"/>
          <w:szCs w:val="24"/>
        </w:rPr>
        <w:t xml:space="preserve"> </w:t>
      </w:r>
      <w:r w:rsidR="00DF056D">
        <w:rPr>
          <w:rFonts w:cstheme="minorHAnsi"/>
          <w:sz w:val="24"/>
          <w:szCs w:val="24"/>
        </w:rPr>
        <w:t>Em março de 2016, a empresa reconhece os malefícios causados e faz proposta para colocar fim ao processo.</w:t>
      </w:r>
      <w:r w:rsidR="0071065C">
        <w:rPr>
          <w:rFonts w:cstheme="minorHAnsi"/>
          <w:sz w:val="24"/>
          <w:szCs w:val="24"/>
        </w:rPr>
        <w:t xml:space="preserve"> </w:t>
      </w:r>
      <w:r w:rsidR="00217036">
        <w:rPr>
          <w:rFonts w:cstheme="minorHAnsi"/>
          <w:sz w:val="24"/>
          <w:szCs w:val="24"/>
        </w:rPr>
        <w:t>Em seguida, anuncia o fim das atividades produtivas naquela planta a partir de 13/05/2016.</w:t>
      </w:r>
    </w:p>
    <w:p w:rsidR="00C44753" w:rsidRDefault="00C44753" w:rsidP="002E5C66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DA682E" w:rsidRDefault="00DA682E" w:rsidP="00DA682E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Assédio Moral Institucional</w:t>
      </w:r>
      <w:r w:rsidR="000B25B7">
        <w:rPr>
          <w:rFonts w:cstheme="minorHAnsi"/>
          <w:sz w:val="24"/>
          <w:szCs w:val="24"/>
        </w:rPr>
        <w:t xml:space="preserve"> e Organizacional</w:t>
      </w:r>
    </w:p>
    <w:p w:rsidR="001D030C" w:rsidRDefault="001D030C" w:rsidP="00DA682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DA682E" w:rsidRDefault="000B25B7" w:rsidP="00DA682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Foi solicitado pelo público presente que fosse colocado como uma das priorid</w:t>
      </w:r>
      <w:r w:rsidR="002253FF">
        <w:rPr>
          <w:rFonts w:cstheme="minorHAnsi"/>
          <w:sz w:val="24"/>
          <w:szCs w:val="24"/>
        </w:rPr>
        <w:t>ades o combate ao assédio moral, por tratar-se de um conjunto de condutas abusivas, exercido por chefias e muitas vezes praticado pelas empresas com conhecimento e apoio de sua direção. Estas condutas estão presentes nos mais variados ramos de atividade em Osasco e região.</w:t>
      </w:r>
    </w:p>
    <w:p w:rsidR="00DF1CBD" w:rsidRDefault="00DF1CBD" w:rsidP="00DF056D">
      <w:pPr>
        <w:pStyle w:val="PargrafodaLista"/>
        <w:spacing w:line="240" w:lineRule="auto"/>
        <w:ind w:left="0"/>
        <w:jc w:val="both"/>
        <w:rPr>
          <w:rFonts w:cstheme="minorHAnsi"/>
          <w:sz w:val="24"/>
          <w:szCs w:val="24"/>
        </w:rPr>
      </w:pPr>
    </w:p>
    <w:p w:rsidR="000B29CD" w:rsidRDefault="000B29CD" w:rsidP="00DF056D">
      <w:pPr>
        <w:pStyle w:val="PargrafodaLista"/>
        <w:spacing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Precisamos colocar “um basta” nesta situação, que só prejudica os trabalhadores e a sociedade.</w:t>
      </w:r>
    </w:p>
    <w:p w:rsidR="003B4D31" w:rsidRDefault="003B4D31" w:rsidP="00E926F8">
      <w:pPr>
        <w:pStyle w:val="PargrafodaLista"/>
        <w:spacing w:line="240" w:lineRule="auto"/>
        <w:jc w:val="right"/>
        <w:rPr>
          <w:rFonts w:cstheme="minorHAnsi"/>
          <w:sz w:val="24"/>
          <w:szCs w:val="24"/>
        </w:rPr>
      </w:pPr>
    </w:p>
    <w:p w:rsidR="00E926F8" w:rsidRPr="001B54F5" w:rsidRDefault="00E926F8" w:rsidP="00E926F8">
      <w:pPr>
        <w:pStyle w:val="PargrafodaLista"/>
        <w:spacing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Osasco, 28 de abril de 2016.</w:t>
      </w:r>
    </w:p>
    <w:p w:rsidR="00E926F8" w:rsidRDefault="00E926F8" w:rsidP="00DF056D">
      <w:pPr>
        <w:pStyle w:val="PargrafodaLista"/>
        <w:spacing w:line="240" w:lineRule="auto"/>
        <w:ind w:left="0"/>
        <w:jc w:val="both"/>
        <w:rPr>
          <w:rFonts w:cstheme="minorHAnsi"/>
          <w:sz w:val="24"/>
          <w:szCs w:val="24"/>
        </w:rPr>
      </w:pPr>
    </w:p>
    <w:p w:rsidR="00E926F8" w:rsidRDefault="00E926F8" w:rsidP="00CE6615">
      <w:pPr>
        <w:pStyle w:val="PargrafodaLista"/>
        <w:spacing w:line="240" w:lineRule="auto"/>
        <w:ind w:left="0"/>
        <w:jc w:val="center"/>
        <w:rPr>
          <w:rFonts w:cstheme="minorHAnsi"/>
          <w:sz w:val="24"/>
          <w:szCs w:val="24"/>
        </w:rPr>
      </w:pPr>
      <w:r w:rsidRPr="00DF1CBD">
        <w:rPr>
          <w:rFonts w:cstheme="minorHAnsi"/>
          <w:i/>
          <w:sz w:val="24"/>
          <w:szCs w:val="24"/>
        </w:rPr>
        <w:t>Este documento foi elaborado pelas entidades organizadoras desse ato.</w:t>
      </w:r>
    </w:p>
    <w:sectPr w:rsidR="00E926F8" w:rsidSect="00DA682E">
      <w:headerReference w:type="default" r:id="rId13"/>
      <w:footerReference w:type="default" r:id="rId14"/>
      <w:pgSz w:w="11906" w:h="16838"/>
      <w:pgMar w:top="1417" w:right="1558" w:bottom="1134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5C" w:rsidRDefault="0071065C" w:rsidP="00E2643D">
      <w:pPr>
        <w:spacing w:after="0" w:line="240" w:lineRule="auto"/>
      </w:pPr>
      <w:r>
        <w:separator/>
      </w:r>
    </w:p>
  </w:endnote>
  <w:endnote w:type="continuationSeparator" w:id="0">
    <w:p w:rsidR="0071065C" w:rsidRDefault="0071065C" w:rsidP="00E2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136835"/>
      <w:docPartObj>
        <w:docPartGallery w:val="Page Numbers (Bottom of Page)"/>
        <w:docPartUnique/>
      </w:docPartObj>
    </w:sdtPr>
    <w:sdtContent>
      <w:p w:rsidR="0071065C" w:rsidRDefault="007106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D31">
          <w:rPr>
            <w:noProof/>
          </w:rPr>
          <w:t>6</w:t>
        </w:r>
        <w:r>
          <w:fldChar w:fldCharType="end"/>
        </w:r>
      </w:p>
    </w:sdtContent>
  </w:sdt>
  <w:p w:rsidR="0071065C" w:rsidRDefault="0071065C" w:rsidP="001B5153">
    <w:pPr>
      <w:pStyle w:val="Rodap"/>
      <w:spacing w:after="100" w:afterAutospacing="1"/>
      <w:ind w:left="-1814"/>
    </w:pPr>
    <w:r>
      <w:rPr>
        <w:noProof/>
        <w:lang w:eastAsia="pt-BR"/>
      </w:rPr>
      <w:drawing>
        <wp:inline distT="0" distB="0" distL="0" distR="0" wp14:anchorId="28BF8466" wp14:editId="5646FADF">
          <wp:extent cx="7620000" cy="954292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odape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336" cy="96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5C" w:rsidRDefault="0071065C" w:rsidP="00E2643D">
      <w:pPr>
        <w:spacing w:after="0" w:line="240" w:lineRule="auto"/>
      </w:pPr>
      <w:r>
        <w:separator/>
      </w:r>
    </w:p>
  </w:footnote>
  <w:footnote w:type="continuationSeparator" w:id="0">
    <w:p w:rsidR="0071065C" w:rsidRDefault="0071065C" w:rsidP="00E2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5C" w:rsidRDefault="0071065C" w:rsidP="001B5153">
    <w:pPr>
      <w:pStyle w:val="Cabealho"/>
      <w:spacing w:after="360"/>
      <w:ind w:left="-1757"/>
    </w:pPr>
    <w:r>
      <w:rPr>
        <w:noProof/>
        <w:lang w:eastAsia="pt-BR"/>
      </w:rPr>
      <w:drawing>
        <wp:inline distT="0" distB="0" distL="0" distR="0" wp14:anchorId="3DB08230" wp14:editId="377F467A">
          <wp:extent cx="7798348" cy="1083919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b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072" cy="109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0EA"/>
    <w:multiLevelType w:val="hybridMultilevel"/>
    <w:tmpl w:val="9E8266D8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E14F5E"/>
    <w:multiLevelType w:val="hybridMultilevel"/>
    <w:tmpl w:val="00065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00FE9"/>
    <w:multiLevelType w:val="hybridMultilevel"/>
    <w:tmpl w:val="054C76FC"/>
    <w:lvl w:ilvl="0" w:tplc="1B68E3C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C282E"/>
    <w:multiLevelType w:val="hybridMultilevel"/>
    <w:tmpl w:val="544C583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BF"/>
    <w:rsid w:val="00023023"/>
    <w:rsid w:val="000B25B7"/>
    <w:rsid w:val="000B29CD"/>
    <w:rsid w:val="001514C6"/>
    <w:rsid w:val="00181F12"/>
    <w:rsid w:val="001B5153"/>
    <w:rsid w:val="001B54F5"/>
    <w:rsid w:val="001D030C"/>
    <w:rsid w:val="00217036"/>
    <w:rsid w:val="002253FF"/>
    <w:rsid w:val="00271006"/>
    <w:rsid w:val="002E5C66"/>
    <w:rsid w:val="003624ED"/>
    <w:rsid w:val="003B4D31"/>
    <w:rsid w:val="003C3AE4"/>
    <w:rsid w:val="0044216A"/>
    <w:rsid w:val="00475183"/>
    <w:rsid w:val="004B1D39"/>
    <w:rsid w:val="004B3634"/>
    <w:rsid w:val="004F2BE7"/>
    <w:rsid w:val="005079DF"/>
    <w:rsid w:val="005279D1"/>
    <w:rsid w:val="005D178D"/>
    <w:rsid w:val="006B1B89"/>
    <w:rsid w:val="007101CB"/>
    <w:rsid w:val="0071065C"/>
    <w:rsid w:val="00710882"/>
    <w:rsid w:val="00763BBE"/>
    <w:rsid w:val="007A1304"/>
    <w:rsid w:val="007B1941"/>
    <w:rsid w:val="00835F46"/>
    <w:rsid w:val="00855230"/>
    <w:rsid w:val="00935461"/>
    <w:rsid w:val="00A40D1D"/>
    <w:rsid w:val="00A41B77"/>
    <w:rsid w:val="00A517D9"/>
    <w:rsid w:val="00A54F85"/>
    <w:rsid w:val="00BC3D1E"/>
    <w:rsid w:val="00BD34BF"/>
    <w:rsid w:val="00C44753"/>
    <w:rsid w:val="00CE6615"/>
    <w:rsid w:val="00D50E06"/>
    <w:rsid w:val="00DA682E"/>
    <w:rsid w:val="00DF056D"/>
    <w:rsid w:val="00DF1CBD"/>
    <w:rsid w:val="00E2643D"/>
    <w:rsid w:val="00E8671D"/>
    <w:rsid w:val="00E926F8"/>
    <w:rsid w:val="00EA7490"/>
    <w:rsid w:val="00F56DBA"/>
    <w:rsid w:val="00F601C9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01C9"/>
    <w:pPr>
      <w:ind w:left="720"/>
      <w:contextualSpacing/>
    </w:pPr>
  </w:style>
  <w:style w:type="table" w:styleId="Tabelacomgrade">
    <w:name w:val="Table Grid"/>
    <w:basedOn w:val="Tabelanormal"/>
    <w:uiPriority w:val="59"/>
    <w:rsid w:val="00F6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43D"/>
  </w:style>
  <w:style w:type="paragraph" w:styleId="Rodap">
    <w:name w:val="footer"/>
    <w:basedOn w:val="Normal"/>
    <w:link w:val="RodapChar"/>
    <w:uiPriority w:val="99"/>
    <w:unhideWhenUsed/>
    <w:rsid w:val="00E2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43D"/>
  </w:style>
  <w:style w:type="paragraph" w:styleId="Textodebalo">
    <w:name w:val="Balloon Text"/>
    <w:basedOn w:val="Normal"/>
    <w:link w:val="TextodebaloChar"/>
    <w:uiPriority w:val="99"/>
    <w:semiHidden/>
    <w:unhideWhenUsed/>
    <w:rsid w:val="00E2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43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447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01C9"/>
    <w:pPr>
      <w:ind w:left="720"/>
      <w:contextualSpacing/>
    </w:pPr>
  </w:style>
  <w:style w:type="table" w:styleId="Tabelacomgrade">
    <w:name w:val="Table Grid"/>
    <w:basedOn w:val="Tabelanormal"/>
    <w:uiPriority w:val="59"/>
    <w:rsid w:val="00F6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43D"/>
  </w:style>
  <w:style w:type="paragraph" w:styleId="Rodap">
    <w:name w:val="footer"/>
    <w:basedOn w:val="Normal"/>
    <w:link w:val="RodapChar"/>
    <w:uiPriority w:val="99"/>
    <w:unhideWhenUsed/>
    <w:rsid w:val="00E2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43D"/>
  </w:style>
  <w:style w:type="paragraph" w:styleId="Textodebalo">
    <w:name w:val="Balloon Text"/>
    <w:basedOn w:val="Normal"/>
    <w:link w:val="TextodebaloChar"/>
    <w:uiPriority w:val="99"/>
    <w:semiHidden/>
    <w:unhideWhenUsed/>
    <w:rsid w:val="00E2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43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44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5FBE-D124-46B0-B01A-B3501C93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1667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Regina</dc:creator>
  <cp:keywords/>
  <dc:description/>
  <cp:lastModifiedBy>Celia Regina</cp:lastModifiedBy>
  <cp:revision>10</cp:revision>
  <cp:lastPrinted>2016-04-14T12:58:00Z</cp:lastPrinted>
  <dcterms:created xsi:type="dcterms:W3CDTF">2016-04-28T19:31:00Z</dcterms:created>
  <dcterms:modified xsi:type="dcterms:W3CDTF">2016-04-29T11:20:00Z</dcterms:modified>
</cp:coreProperties>
</file>